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5B" w:rsidRDefault="0079175B"/>
    <w:p w:rsidR="008547F1" w:rsidRDefault="008547F1"/>
    <w:p w:rsidR="008547F1" w:rsidRDefault="008547F1"/>
    <w:p w:rsidR="00CE0D2E" w:rsidRPr="001F2EDB" w:rsidRDefault="00CE0D2E" w:rsidP="00CE0D2E">
      <w:pPr>
        <w:pStyle w:val="Lgende"/>
        <w:rPr>
          <w:rFonts w:asciiTheme="minorHAnsi" w:hAnsiTheme="minorHAnsi"/>
          <w:sz w:val="24"/>
          <w:szCs w:val="24"/>
          <w:lang w:val="fr-FR"/>
        </w:rPr>
      </w:pPr>
      <w:r w:rsidRPr="001F2EDB">
        <w:rPr>
          <w:rFonts w:asciiTheme="minorHAnsi" w:hAnsiTheme="minorHAnsi"/>
          <w:sz w:val="24"/>
          <w:szCs w:val="24"/>
          <w:lang w:val="fr-FR"/>
        </w:rPr>
        <w:t xml:space="preserve">Fiche d’instruction aux soumissionnaires </w:t>
      </w:r>
    </w:p>
    <w:p w:rsidR="00CE0D2E" w:rsidRPr="001F2EDB" w:rsidRDefault="00CE0D2E" w:rsidP="00F52F78">
      <w:pPr>
        <w:pStyle w:val="Lgende"/>
        <w:rPr>
          <w:rFonts w:asciiTheme="minorHAnsi" w:hAnsiTheme="minorHAnsi"/>
          <w:sz w:val="24"/>
          <w:szCs w:val="24"/>
          <w:lang w:val="fr-FR"/>
        </w:rPr>
      </w:pPr>
      <w:r w:rsidRPr="001F2EDB">
        <w:rPr>
          <w:rFonts w:asciiTheme="minorHAnsi" w:hAnsiTheme="minorHAnsi"/>
          <w:sz w:val="24"/>
          <w:szCs w:val="24"/>
          <w:lang w:val="fr-FR"/>
        </w:rPr>
        <w:t>RFQ Nº UNFPA/</w:t>
      </w:r>
      <w:r w:rsidR="00D40692" w:rsidRPr="001F2EDB">
        <w:rPr>
          <w:rFonts w:asciiTheme="minorHAnsi" w:hAnsiTheme="minorHAnsi"/>
          <w:sz w:val="24"/>
          <w:szCs w:val="24"/>
          <w:lang w:val="fr-FR"/>
        </w:rPr>
        <w:t>DZA</w:t>
      </w:r>
      <w:r w:rsidRPr="001F2EDB">
        <w:rPr>
          <w:rFonts w:asciiTheme="minorHAnsi" w:hAnsiTheme="minorHAnsi"/>
          <w:sz w:val="24"/>
          <w:szCs w:val="24"/>
          <w:lang w:val="fr-FR"/>
        </w:rPr>
        <w:t>/RFQ/</w:t>
      </w:r>
      <w:r w:rsidR="00D40692" w:rsidRPr="001F2EDB">
        <w:rPr>
          <w:rFonts w:asciiTheme="minorHAnsi" w:hAnsiTheme="minorHAnsi"/>
          <w:sz w:val="24"/>
          <w:szCs w:val="24"/>
          <w:lang w:val="fr-FR"/>
        </w:rPr>
        <w:t>2020</w:t>
      </w:r>
      <w:r w:rsidRPr="001F2EDB">
        <w:rPr>
          <w:rFonts w:asciiTheme="minorHAnsi" w:hAnsiTheme="minorHAnsi"/>
          <w:sz w:val="24"/>
          <w:szCs w:val="24"/>
          <w:lang w:val="fr-FR"/>
        </w:rPr>
        <w:t>/</w:t>
      </w:r>
      <w:r w:rsidR="00944C9D" w:rsidRPr="001F2EDB">
        <w:rPr>
          <w:rFonts w:asciiTheme="minorHAnsi" w:hAnsiTheme="minorHAnsi"/>
          <w:sz w:val="24"/>
          <w:szCs w:val="24"/>
          <w:lang w:val="fr-FR"/>
        </w:rPr>
        <w:t>00</w:t>
      </w:r>
      <w:r w:rsidR="00F52F78">
        <w:rPr>
          <w:rFonts w:asciiTheme="minorHAnsi" w:hAnsiTheme="minorHAnsi"/>
          <w:sz w:val="24"/>
          <w:szCs w:val="24"/>
          <w:lang w:val="fr-FR"/>
        </w:rPr>
        <w:t>3</w:t>
      </w:r>
      <w:r w:rsidRPr="001F2EDB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:rsidR="00CE0D2E" w:rsidRDefault="00CE0D2E" w:rsidP="00CE0D2E">
      <w:pPr>
        <w:spacing w:after="0"/>
        <w:rPr>
          <w:rFonts w:cs="Times New Roman"/>
          <w:b/>
          <w:bCs/>
          <w:sz w:val="24"/>
          <w:szCs w:val="24"/>
        </w:rPr>
      </w:pPr>
    </w:p>
    <w:p w:rsidR="008547F1" w:rsidRPr="001F2EDB" w:rsidRDefault="008547F1" w:rsidP="00CE0D2E">
      <w:pPr>
        <w:spacing w:after="0"/>
        <w:rPr>
          <w:rFonts w:cs="Times New Roman"/>
          <w:b/>
          <w:bCs/>
          <w:sz w:val="24"/>
          <w:szCs w:val="24"/>
        </w:rPr>
      </w:pPr>
    </w:p>
    <w:p w:rsidR="00CE0D2E" w:rsidRPr="001F2EDB" w:rsidRDefault="00CE0D2E" w:rsidP="00CE0D2E">
      <w:pPr>
        <w:spacing w:after="0"/>
        <w:jc w:val="center"/>
        <w:rPr>
          <w:rFonts w:cs="Times New Roman"/>
          <w:sz w:val="24"/>
          <w:szCs w:val="24"/>
        </w:rPr>
      </w:pPr>
    </w:p>
    <w:p w:rsidR="00CE0D2E" w:rsidRPr="001F2EDB" w:rsidRDefault="00CE0D2E" w:rsidP="00CE0D2E">
      <w:pPr>
        <w:spacing w:after="0"/>
        <w:rPr>
          <w:rFonts w:cs="Times New Roman"/>
          <w:b/>
          <w:bCs/>
          <w:u w:val="single"/>
        </w:rPr>
      </w:pPr>
      <w:r w:rsidRPr="001F2EDB">
        <w:rPr>
          <w:rFonts w:cs="Times New Roman"/>
          <w:b/>
          <w:bCs/>
          <w:u w:val="single"/>
        </w:rPr>
        <w:t xml:space="preserve">Contexte : </w:t>
      </w:r>
    </w:p>
    <w:p w:rsidR="00CE0D2E" w:rsidRDefault="00CE0D2E" w:rsidP="00CE0D2E">
      <w:pPr>
        <w:pStyle w:val="Paragraphedeliste"/>
        <w:spacing w:after="0"/>
        <w:ind w:left="284"/>
        <w:rPr>
          <w:rFonts w:cs="Times New Roman"/>
          <w:b/>
          <w:bCs/>
          <w:sz w:val="24"/>
          <w:szCs w:val="24"/>
        </w:rPr>
      </w:pPr>
    </w:p>
    <w:p w:rsidR="008547F1" w:rsidRPr="001F2EDB" w:rsidRDefault="008547F1" w:rsidP="00CE0D2E">
      <w:pPr>
        <w:pStyle w:val="Paragraphedeliste"/>
        <w:spacing w:after="0"/>
        <w:ind w:left="284"/>
        <w:rPr>
          <w:rFonts w:cs="Times New Roman"/>
          <w:b/>
          <w:bCs/>
          <w:sz w:val="24"/>
          <w:szCs w:val="24"/>
        </w:rPr>
      </w:pPr>
    </w:p>
    <w:p w:rsidR="00CE0D2E" w:rsidRPr="00F52F78" w:rsidRDefault="00CE0D2E" w:rsidP="00F4782E">
      <w:pPr>
        <w:pStyle w:val="Paragraphedeliste"/>
        <w:spacing w:after="0"/>
        <w:ind w:left="284"/>
        <w:jc w:val="both"/>
        <w:rPr>
          <w:rFonts w:cs="Times New Roman"/>
        </w:rPr>
      </w:pPr>
      <w:r w:rsidRPr="001F2EDB">
        <w:rPr>
          <w:rFonts w:cs="Times New Roman"/>
        </w:rPr>
        <w:t xml:space="preserve">Dans le cadre du programme de coopération Algérie-Fonds des Nations Unies pour la Population </w:t>
      </w:r>
      <w:r w:rsidR="00F52F78">
        <w:rPr>
          <w:rFonts w:cs="Times New Roman"/>
        </w:rPr>
        <w:t xml:space="preserve">(UNFPA) 2017-2020, notamment l’investissement dans </w:t>
      </w:r>
      <w:r w:rsidR="00C93DF0">
        <w:rPr>
          <w:rFonts w:cs="Times New Roman"/>
        </w:rPr>
        <w:t xml:space="preserve">les TIC </w:t>
      </w:r>
      <w:r w:rsidR="00F52F78">
        <w:rPr>
          <w:rFonts w:cs="Times New Roman"/>
        </w:rPr>
        <w:t>afin de consol</w:t>
      </w:r>
      <w:r w:rsidR="00C93DF0">
        <w:rPr>
          <w:rFonts w:cs="Times New Roman"/>
        </w:rPr>
        <w:t xml:space="preserve">ider les acquis et renforcer la coordination </w:t>
      </w:r>
      <w:r w:rsidR="00F52F78">
        <w:rPr>
          <w:rFonts w:cs="Times New Roman"/>
        </w:rPr>
        <w:t xml:space="preserve">avec les différents intervenants dans les  programmes </w:t>
      </w:r>
      <w:r w:rsidR="00BF046A">
        <w:rPr>
          <w:rFonts w:cs="Times New Roman"/>
        </w:rPr>
        <w:t xml:space="preserve">de santé reproductive </w:t>
      </w:r>
      <w:r w:rsidRPr="00F52F78">
        <w:rPr>
          <w:rFonts w:cs="Times New Roman"/>
        </w:rPr>
        <w:t>et planification familiale</w:t>
      </w:r>
      <w:r w:rsidR="00C93DF0">
        <w:rPr>
          <w:rFonts w:cs="Times New Roman"/>
        </w:rPr>
        <w:t xml:space="preserve"> au niveau local</w:t>
      </w:r>
      <w:r w:rsidRPr="00F52F78">
        <w:rPr>
          <w:rFonts w:cs="Times New Roman"/>
        </w:rPr>
        <w:t xml:space="preserve">, l’UNFPA appui le Ministère de la Santé-Direction de la Population (DPOP) pour l’acquisition </w:t>
      </w:r>
      <w:r w:rsidR="00F52F78">
        <w:rPr>
          <w:rFonts w:cs="Times New Roman"/>
        </w:rPr>
        <w:t xml:space="preserve">d’un </w:t>
      </w:r>
      <w:r w:rsidR="00C93DF0">
        <w:rPr>
          <w:rFonts w:cs="Times New Roman"/>
        </w:rPr>
        <w:t xml:space="preserve">(01) </w:t>
      </w:r>
      <w:r w:rsidR="00F52F78">
        <w:rPr>
          <w:rFonts w:cs="Times New Roman"/>
        </w:rPr>
        <w:t xml:space="preserve">kit </w:t>
      </w:r>
      <w:r w:rsidR="00F4782E">
        <w:rPr>
          <w:rFonts w:cs="Times New Roman"/>
        </w:rPr>
        <w:t xml:space="preserve">système </w:t>
      </w:r>
      <w:r w:rsidR="00F52F78">
        <w:rPr>
          <w:rFonts w:cs="Times New Roman"/>
        </w:rPr>
        <w:t>de vis</w:t>
      </w:r>
      <w:r w:rsidR="00C93DF0">
        <w:rPr>
          <w:rFonts w:cs="Times New Roman"/>
        </w:rPr>
        <w:t xml:space="preserve">ioconférence </w:t>
      </w:r>
      <w:r w:rsidR="00F52F78">
        <w:rPr>
          <w:rFonts w:cs="Times New Roman"/>
        </w:rPr>
        <w:t>au profit de la Direction de la Population</w:t>
      </w:r>
      <w:r w:rsidRPr="00F52F78">
        <w:rPr>
          <w:rFonts w:cs="Times New Roman"/>
        </w:rPr>
        <w:t>.</w:t>
      </w:r>
    </w:p>
    <w:p w:rsidR="00D40692" w:rsidRPr="001F2EDB" w:rsidRDefault="00D40692" w:rsidP="00CE0D2E">
      <w:pPr>
        <w:pStyle w:val="Paragraphedeliste"/>
        <w:spacing w:after="0"/>
        <w:ind w:left="284"/>
        <w:jc w:val="both"/>
        <w:rPr>
          <w:rFonts w:cs="Times New Roman"/>
        </w:rPr>
      </w:pPr>
    </w:p>
    <w:p w:rsidR="001F2EDB" w:rsidRDefault="00CE0D2E" w:rsidP="00C93DF0">
      <w:pPr>
        <w:pStyle w:val="Paragraphedeliste"/>
        <w:spacing w:after="0"/>
        <w:ind w:left="284"/>
        <w:jc w:val="both"/>
        <w:rPr>
          <w:rFonts w:cs="Times New Roman"/>
        </w:rPr>
      </w:pPr>
      <w:r w:rsidRPr="001F2EDB">
        <w:rPr>
          <w:rFonts w:cs="Times New Roman"/>
        </w:rPr>
        <w:t xml:space="preserve">A cet effet, l'UNFPA lance un appel pour des demandes de prix (RFQ) pour l’approvisionnement </w:t>
      </w:r>
      <w:r w:rsidR="00C93DF0">
        <w:rPr>
          <w:rFonts w:cs="Times New Roman"/>
        </w:rPr>
        <w:t xml:space="preserve">d’un kit </w:t>
      </w:r>
      <w:r w:rsidR="00F4782E">
        <w:rPr>
          <w:rFonts w:cs="Times New Roman"/>
        </w:rPr>
        <w:t xml:space="preserve">système </w:t>
      </w:r>
      <w:r w:rsidR="00AC4C63">
        <w:rPr>
          <w:rFonts w:cs="Times New Roman"/>
        </w:rPr>
        <w:t>de visioconférence</w:t>
      </w:r>
      <w:r w:rsidRPr="001F2EDB">
        <w:rPr>
          <w:rFonts w:cs="Times New Roman"/>
        </w:rPr>
        <w:t xml:space="preserve">, tel que </w:t>
      </w:r>
      <w:r w:rsidR="00D40692" w:rsidRPr="001F2EDB">
        <w:rPr>
          <w:rFonts w:cs="Times New Roman"/>
        </w:rPr>
        <w:t>détaillé dans le tableau ci-après</w:t>
      </w:r>
      <w:r w:rsidRPr="001F2EDB">
        <w:rPr>
          <w:rFonts w:cs="Times New Roman"/>
        </w:rPr>
        <w:t xml:space="preserve">. </w:t>
      </w:r>
    </w:p>
    <w:p w:rsidR="001F2EDB" w:rsidRDefault="001F2EDB" w:rsidP="00CE0D2E">
      <w:pPr>
        <w:pStyle w:val="Paragraphedeliste"/>
        <w:spacing w:after="0"/>
        <w:ind w:left="284"/>
        <w:jc w:val="both"/>
        <w:rPr>
          <w:rFonts w:cs="Times New Roman"/>
        </w:rPr>
      </w:pPr>
    </w:p>
    <w:p w:rsidR="00CE0D2E" w:rsidRDefault="00CE0D2E" w:rsidP="00CE0D2E">
      <w:pPr>
        <w:pStyle w:val="Paragraphedeliste"/>
        <w:spacing w:after="0"/>
        <w:ind w:left="284"/>
        <w:jc w:val="both"/>
        <w:rPr>
          <w:rFonts w:cs="Times New Roman"/>
        </w:rPr>
      </w:pPr>
      <w:r w:rsidRPr="001F2EDB">
        <w:rPr>
          <w:rFonts w:cs="Times New Roman"/>
        </w:rPr>
        <w:t xml:space="preserve">Cette demande de devis est ouverte à tous les opérateurs économiques agréés en Algérie, pouvant fournir le produit conformément aux spécifications requises. </w:t>
      </w:r>
    </w:p>
    <w:p w:rsidR="008547F1" w:rsidRDefault="008547F1" w:rsidP="00CE0D2E">
      <w:pPr>
        <w:pStyle w:val="Paragraphedeliste"/>
        <w:spacing w:after="0"/>
        <w:ind w:left="284"/>
        <w:jc w:val="both"/>
        <w:rPr>
          <w:rFonts w:cs="Times New Roman"/>
        </w:rPr>
      </w:pPr>
    </w:p>
    <w:p w:rsidR="008547F1" w:rsidRDefault="008547F1" w:rsidP="00CE0D2E">
      <w:pPr>
        <w:pStyle w:val="Paragraphedeliste"/>
        <w:spacing w:after="0"/>
        <w:ind w:left="284"/>
        <w:jc w:val="both"/>
        <w:rPr>
          <w:rFonts w:cs="Times New Roman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58"/>
        <w:gridCol w:w="1840"/>
        <w:gridCol w:w="4231"/>
        <w:gridCol w:w="1689"/>
        <w:gridCol w:w="1029"/>
      </w:tblGrid>
      <w:tr w:rsidR="008547F1" w:rsidTr="00043C58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47F1" w:rsidRPr="008547F1" w:rsidRDefault="008547F1" w:rsidP="00043C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47F1">
              <w:rPr>
                <w:rFonts w:ascii="Calibri" w:hAnsi="Calibri" w:cs="Calibri"/>
                <w:b/>
                <w:bCs/>
              </w:rPr>
              <w:t>Article n°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547F1" w:rsidRPr="008547F1" w:rsidRDefault="008547F1" w:rsidP="00043C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47F1">
              <w:rPr>
                <w:rFonts w:ascii="Calibri" w:hAnsi="Calibri" w:cs="Calibri"/>
                <w:b/>
                <w:bCs/>
              </w:rPr>
              <w:t>Nom du produit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8547F1" w:rsidRPr="008547F1" w:rsidRDefault="008547F1" w:rsidP="00043C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47F1">
              <w:rPr>
                <w:rFonts w:ascii="Calibri" w:hAnsi="Calibri" w:cs="Calibri"/>
                <w:b/>
                <w:bCs/>
              </w:rPr>
              <w:t>Description du produit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8547F1" w:rsidRPr="008547F1" w:rsidRDefault="008547F1" w:rsidP="00043C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47F1">
              <w:rPr>
                <w:rFonts w:ascii="Calibri" w:hAnsi="Calibri" w:cs="Calibri"/>
                <w:b/>
                <w:bCs/>
              </w:rPr>
              <w:t>Unité de mesure</w:t>
            </w: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8547F1" w:rsidRPr="008547F1" w:rsidRDefault="008547F1" w:rsidP="00043C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47F1">
              <w:rPr>
                <w:rFonts w:ascii="Calibri" w:hAnsi="Calibri" w:cs="Calibri"/>
                <w:b/>
                <w:bCs/>
              </w:rPr>
              <w:t>Quantité</w:t>
            </w:r>
          </w:p>
        </w:tc>
      </w:tr>
      <w:tr w:rsidR="008547F1" w:rsidTr="00043C58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47F1" w:rsidRDefault="008547F1" w:rsidP="00043C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547F1" w:rsidRDefault="008547F1" w:rsidP="00043C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8111D4">
              <w:rPr>
                <w:rFonts w:ascii="Calibri" w:hAnsi="Calibri" w:cs="Calibri"/>
              </w:rPr>
              <w:t>it système de visioconférence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8547F1" w:rsidRPr="008547F1" w:rsidRDefault="008547F1" w:rsidP="00043C58">
            <w:pPr>
              <w:pStyle w:val="Paragraphedeliste"/>
              <w:ind w:left="-55"/>
              <w:jc w:val="both"/>
              <w:rPr>
                <w:rFonts w:ascii="Calibri" w:hAnsi="Calibri" w:cs="Calibri"/>
                <w:lang w:val="fr-FR"/>
              </w:rPr>
            </w:pPr>
            <w:r w:rsidRPr="008547F1">
              <w:rPr>
                <w:rFonts w:ascii="Calibri" w:hAnsi="Calibri" w:cs="Calibri"/>
                <w:lang w:val="fr-FR"/>
              </w:rPr>
              <w:t>Kit système de visioconférence complet contenant :</w:t>
            </w:r>
          </w:p>
          <w:p w:rsidR="008547F1" w:rsidRPr="008547F1" w:rsidRDefault="008547F1" w:rsidP="00043C58">
            <w:pPr>
              <w:pStyle w:val="Paragraphedeliste"/>
              <w:ind w:left="-55"/>
              <w:jc w:val="both"/>
              <w:rPr>
                <w:rFonts w:ascii="Calibri" w:hAnsi="Calibri" w:cs="Calibri"/>
                <w:lang w:val="fr-FR"/>
              </w:rPr>
            </w:pPr>
            <w:r w:rsidRPr="008547F1">
              <w:rPr>
                <w:rFonts w:ascii="Calibri" w:hAnsi="Calibri" w:cs="Calibri"/>
                <w:lang w:val="fr-FR"/>
              </w:rPr>
              <w:t xml:space="preserve">- Ecran tactile LED 75’’, RAM/ROM 2G/16G avec système opérateur Android et support amovible </w:t>
            </w:r>
          </w:p>
          <w:p w:rsidR="008547F1" w:rsidRPr="008547F1" w:rsidRDefault="008547F1" w:rsidP="00043C58">
            <w:pPr>
              <w:pStyle w:val="Paragraphedeliste"/>
              <w:ind w:left="-55"/>
              <w:jc w:val="both"/>
              <w:rPr>
                <w:rFonts w:ascii="Calibri" w:hAnsi="Calibri" w:cs="Calibri"/>
                <w:lang w:val="fr-FR"/>
              </w:rPr>
            </w:pPr>
            <w:r w:rsidRPr="008547F1">
              <w:rPr>
                <w:rFonts w:ascii="Calibri" w:hAnsi="Calibri" w:cs="Calibri"/>
                <w:lang w:val="fr-FR"/>
              </w:rPr>
              <w:t xml:space="preserve">- Caméra de conférence group et système de sonorisation </w:t>
            </w:r>
          </w:p>
          <w:p w:rsidR="008547F1" w:rsidRPr="008547F1" w:rsidRDefault="008547F1" w:rsidP="00043C58">
            <w:pPr>
              <w:jc w:val="both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8547F1" w:rsidRDefault="008547F1" w:rsidP="00043C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Unité </w:t>
            </w: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8547F1" w:rsidRDefault="008547F1" w:rsidP="00043C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</w:tr>
      <w:tr w:rsidR="008547F1" w:rsidTr="00043C58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547F1" w:rsidRDefault="008547F1" w:rsidP="00043C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8547F1" w:rsidRDefault="008547F1" w:rsidP="00043C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8111D4">
              <w:rPr>
                <w:rFonts w:ascii="Calibri" w:hAnsi="Calibri" w:cs="Calibri"/>
              </w:rPr>
              <w:t>it système de visioconférence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8547F1" w:rsidRPr="008547F1" w:rsidRDefault="008547F1" w:rsidP="00043C58">
            <w:pPr>
              <w:pStyle w:val="Paragraphedeliste"/>
              <w:ind w:left="-55"/>
              <w:jc w:val="both"/>
              <w:rPr>
                <w:rFonts w:ascii="Calibri" w:hAnsi="Calibri" w:cs="Calibri"/>
                <w:lang w:val="fr-FR"/>
              </w:rPr>
            </w:pPr>
            <w:r w:rsidRPr="008547F1">
              <w:rPr>
                <w:rFonts w:ascii="Calibri" w:hAnsi="Calibri" w:cs="Calibri"/>
                <w:lang w:val="fr-FR"/>
              </w:rPr>
              <w:t>Kit système de visioconférence complet contenant :</w:t>
            </w:r>
          </w:p>
          <w:p w:rsidR="008547F1" w:rsidRPr="008547F1" w:rsidRDefault="008547F1" w:rsidP="00043C58">
            <w:pPr>
              <w:pStyle w:val="Paragraphedeliste"/>
              <w:ind w:left="-55"/>
              <w:jc w:val="both"/>
              <w:rPr>
                <w:rFonts w:ascii="Calibri" w:hAnsi="Calibri" w:cs="Calibri"/>
                <w:lang w:val="fr-FR"/>
              </w:rPr>
            </w:pPr>
            <w:r w:rsidRPr="008547F1">
              <w:rPr>
                <w:rFonts w:ascii="Calibri" w:hAnsi="Calibri" w:cs="Calibri"/>
                <w:lang w:val="fr-FR"/>
              </w:rPr>
              <w:t xml:space="preserve">- Ecran tactile LED 86’’, RAM/ROM 2G/16G avec système opérateur Android et support amovible </w:t>
            </w:r>
          </w:p>
          <w:p w:rsidR="008547F1" w:rsidRDefault="008547F1" w:rsidP="00043C58">
            <w:pPr>
              <w:pStyle w:val="Paragraphedeliste"/>
              <w:ind w:left="-5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</w:t>
            </w:r>
            <w:r w:rsidRPr="008111D4">
              <w:rPr>
                <w:rFonts w:ascii="Calibri" w:hAnsi="Calibri" w:cs="Calibri"/>
              </w:rPr>
              <w:t>améra</w:t>
            </w:r>
            <w:r>
              <w:rPr>
                <w:rFonts w:ascii="Calibri" w:hAnsi="Calibri" w:cs="Calibri"/>
              </w:rPr>
              <w:t xml:space="preserve"> </w:t>
            </w:r>
          </w:p>
          <w:p w:rsidR="008547F1" w:rsidRDefault="008547F1" w:rsidP="00043C58">
            <w:pPr>
              <w:pStyle w:val="Paragraphedeliste"/>
              <w:ind w:left="-5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Système de sonorisation</w:t>
            </w:r>
          </w:p>
          <w:p w:rsidR="008547F1" w:rsidRDefault="008547F1" w:rsidP="00043C58">
            <w:pPr>
              <w:pStyle w:val="Paragraphedeliste"/>
              <w:ind w:left="-55"/>
              <w:jc w:val="both"/>
              <w:rPr>
                <w:rFonts w:ascii="Calibri" w:hAnsi="Calibri" w:cs="Calibri"/>
              </w:rPr>
            </w:pP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8547F1" w:rsidRDefault="008547F1" w:rsidP="00043C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Unité</w:t>
            </w: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8547F1" w:rsidRDefault="008547F1" w:rsidP="00043C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</w:tr>
    </w:tbl>
    <w:p w:rsidR="008547F1" w:rsidRPr="001F2EDB" w:rsidRDefault="008547F1" w:rsidP="00CE0D2E">
      <w:pPr>
        <w:pStyle w:val="Paragraphedeliste"/>
        <w:spacing w:after="0"/>
        <w:ind w:left="284"/>
        <w:jc w:val="both"/>
        <w:rPr>
          <w:rFonts w:cs="Times New Roman"/>
        </w:rPr>
      </w:pPr>
    </w:p>
    <w:p w:rsidR="00CE0D2E" w:rsidRDefault="00CE0D2E" w:rsidP="0085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7F1" w:rsidRDefault="008547F1" w:rsidP="0085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7F1" w:rsidRDefault="008547F1" w:rsidP="0085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7F1" w:rsidRDefault="008547F1" w:rsidP="0085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7F1" w:rsidRPr="008547F1" w:rsidRDefault="008547F1" w:rsidP="0085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EDB" w:rsidRPr="001F2EDB" w:rsidRDefault="001F2EDB" w:rsidP="001F2EDB">
      <w:pPr>
        <w:spacing w:after="0"/>
        <w:jc w:val="both"/>
        <w:rPr>
          <w:rFonts w:cs="Times New Roman"/>
          <w:b/>
          <w:bCs/>
          <w:u w:val="single"/>
        </w:rPr>
      </w:pPr>
      <w:r w:rsidRPr="001F2EDB">
        <w:rPr>
          <w:rFonts w:cs="Times New Roman"/>
          <w:b/>
          <w:bCs/>
          <w:u w:val="single"/>
        </w:rPr>
        <w:t>Instructions :</w:t>
      </w:r>
    </w:p>
    <w:p w:rsidR="001F2EDB" w:rsidRPr="001F2EDB" w:rsidRDefault="001F2EDB" w:rsidP="001F2EDB">
      <w:pPr>
        <w:spacing w:after="0"/>
        <w:jc w:val="both"/>
        <w:rPr>
          <w:rFonts w:cs="Times New Roman"/>
        </w:rPr>
      </w:pPr>
    </w:p>
    <w:p w:rsidR="00CE0D2E" w:rsidRPr="001F2EDB" w:rsidRDefault="00D40692" w:rsidP="00CE0D2E">
      <w:pPr>
        <w:pStyle w:val="Paragraphedeliste"/>
        <w:spacing w:after="0"/>
        <w:ind w:left="284"/>
        <w:jc w:val="both"/>
        <w:rPr>
          <w:rFonts w:cs="Times New Roman"/>
        </w:rPr>
      </w:pPr>
      <w:r w:rsidRPr="001F2EDB">
        <w:rPr>
          <w:rFonts w:cs="Times New Roman"/>
        </w:rPr>
        <w:t xml:space="preserve">Afin de préparer une proposition recevable, veuillez examiner soigneusement le tableau suivant : </w:t>
      </w:r>
    </w:p>
    <w:p w:rsidR="00CE0D2E" w:rsidRPr="008547F1" w:rsidRDefault="00CE0D2E" w:rsidP="0085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0692" w:rsidTr="006F54F1">
        <w:tc>
          <w:tcPr>
            <w:tcW w:w="2830" w:type="dxa"/>
          </w:tcPr>
          <w:p w:rsidR="00D40692" w:rsidRPr="00774E60" w:rsidRDefault="00D40692">
            <w:pPr>
              <w:rPr>
                <w:b/>
                <w:bCs/>
              </w:rPr>
            </w:pPr>
            <w:r w:rsidRPr="00774E60">
              <w:rPr>
                <w:b/>
                <w:bCs/>
              </w:rPr>
              <w:t xml:space="preserve">Instructions aux fournisseurs </w:t>
            </w:r>
          </w:p>
        </w:tc>
        <w:tc>
          <w:tcPr>
            <w:tcW w:w="6232" w:type="dxa"/>
          </w:tcPr>
          <w:p w:rsidR="00D40692" w:rsidRPr="00774E60" w:rsidRDefault="00D40692">
            <w:pPr>
              <w:rPr>
                <w:b/>
                <w:bCs/>
              </w:rPr>
            </w:pPr>
            <w:r w:rsidRPr="00774E60">
              <w:rPr>
                <w:b/>
                <w:bCs/>
              </w:rPr>
              <w:t xml:space="preserve">Conditions requises </w:t>
            </w:r>
          </w:p>
        </w:tc>
      </w:tr>
      <w:tr w:rsidR="00774E60" w:rsidTr="006F54F1">
        <w:tc>
          <w:tcPr>
            <w:tcW w:w="2830" w:type="dxa"/>
          </w:tcPr>
          <w:p w:rsidR="00774E60" w:rsidRPr="00774E60" w:rsidRDefault="00774E60">
            <w:pPr>
              <w:rPr>
                <w:b/>
                <w:bCs/>
                <w:lang w:val="fr-FR"/>
              </w:rPr>
            </w:pPr>
            <w:r w:rsidRPr="00774E60">
              <w:rPr>
                <w:b/>
                <w:bCs/>
                <w:lang w:val="fr-FR"/>
              </w:rPr>
              <w:t xml:space="preserve">Date limite de la soumission </w:t>
            </w: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rPr>
                <w:b/>
                <w:bCs/>
                <w:lang w:val="fr-FR"/>
              </w:rPr>
            </w:pPr>
          </w:p>
          <w:p w:rsidR="00774E60" w:rsidRPr="00774E60" w:rsidRDefault="00774E60" w:rsidP="006F54F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6232" w:type="dxa"/>
          </w:tcPr>
          <w:p w:rsidR="00774E60" w:rsidRDefault="00774E60" w:rsidP="00CE7C06">
            <w:pPr>
              <w:rPr>
                <w:lang w:val="fr-FR"/>
              </w:rPr>
            </w:pPr>
            <w:r>
              <w:rPr>
                <w:lang w:val="fr-FR"/>
              </w:rPr>
              <w:t>Date et Heure : Alger, Algérie (GMT+1)</w:t>
            </w:r>
          </w:p>
          <w:p w:rsidR="00774E60" w:rsidRPr="006F54F1" w:rsidRDefault="00774E60" w:rsidP="00CE7C06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774E60" w:rsidRDefault="00774E60" w:rsidP="00C93DF0">
            <w:pPr>
              <w:rPr>
                <w:lang w:val="fr-FR"/>
              </w:rPr>
            </w:pPr>
            <w:r>
              <w:rPr>
                <w:lang w:val="fr-FR"/>
              </w:rPr>
              <w:t xml:space="preserve">Les soumissionnaires sont appelés à transmettre leurs offres au plus tard </w:t>
            </w:r>
            <w:r w:rsidRPr="00CE7C06">
              <w:rPr>
                <w:b/>
                <w:bCs/>
                <w:lang w:val="fr-FR"/>
              </w:rPr>
              <w:t xml:space="preserve">le </w:t>
            </w:r>
            <w:r w:rsidR="00C93DF0">
              <w:rPr>
                <w:b/>
                <w:bCs/>
                <w:lang w:val="fr-FR"/>
              </w:rPr>
              <w:t>Jeudi</w:t>
            </w:r>
            <w:r w:rsidRPr="00CE7C06">
              <w:rPr>
                <w:b/>
                <w:bCs/>
                <w:lang w:val="fr-FR"/>
              </w:rPr>
              <w:t xml:space="preserve"> 2</w:t>
            </w:r>
            <w:r w:rsidR="00C93DF0">
              <w:rPr>
                <w:b/>
                <w:bCs/>
                <w:lang w:val="fr-FR"/>
              </w:rPr>
              <w:t>6</w:t>
            </w:r>
            <w:r w:rsidRPr="00CE7C06">
              <w:rPr>
                <w:b/>
                <w:bCs/>
                <w:lang w:val="fr-FR"/>
              </w:rPr>
              <w:t xml:space="preserve"> novembre 2020 à 16H00</w:t>
            </w:r>
            <w:r w:rsidR="001F2EDB">
              <w:rPr>
                <w:b/>
                <w:bCs/>
                <w:lang w:val="fr-FR"/>
              </w:rPr>
              <w:t xml:space="preserve"> (GMT+1)</w:t>
            </w:r>
            <w:r>
              <w:rPr>
                <w:lang w:val="fr-FR"/>
              </w:rPr>
              <w:t xml:space="preserve">, par </w:t>
            </w:r>
            <w:r w:rsidR="001F2EDB">
              <w:rPr>
                <w:lang w:val="fr-FR"/>
              </w:rPr>
              <w:t xml:space="preserve">courriel </w:t>
            </w:r>
            <w:r>
              <w:rPr>
                <w:lang w:val="fr-FR"/>
              </w:rPr>
              <w:t xml:space="preserve">à l’adresse : </w:t>
            </w:r>
            <w:hyperlink r:id="rId8" w:history="1">
              <w:r w:rsidRPr="00CE7C06">
                <w:rPr>
                  <w:rStyle w:val="Lienhypertexte"/>
                  <w:b/>
                  <w:bCs/>
                  <w:lang w:val="fr-FR"/>
                </w:rPr>
                <w:t>offres-dz@unfpa.org</w:t>
              </w:r>
            </w:hyperlink>
            <w:r w:rsidRPr="00CE7C06">
              <w:rPr>
                <w:lang w:val="fr-FR"/>
              </w:rPr>
              <w:t xml:space="preserve"> </w:t>
            </w:r>
            <w:r w:rsidR="001F2EDB">
              <w:rPr>
                <w:lang w:val="fr-FR"/>
              </w:rPr>
              <w:t>e</w:t>
            </w:r>
            <w:r>
              <w:rPr>
                <w:lang w:val="fr-FR"/>
              </w:rPr>
              <w:t xml:space="preserve">n mentionnant en </w:t>
            </w:r>
            <w:r w:rsidRPr="001F2EDB">
              <w:rPr>
                <w:b/>
                <w:bCs/>
                <w:lang w:val="fr-FR"/>
              </w:rPr>
              <w:t>objet</w:t>
            </w:r>
            <w:r>
              <w:rPr>
                <w:lang w:val="fr-FR"/>
              </w:rPr>
              <w:t xml:space="preserve"> la référence suivante :</w:t>
            </w:r>
          </w:p>
          <w:p w:rsidR="00C93DF0" w:rsidRPr="00C93DF0" w:rsidRDefault="00774E60" w:rsidP="00BF046A">
            <w:pPr>
              <w:pStyle w:val="Paragraphedeliste"/>
              <w:ind w:left="284"/>
              <w:jc w:val="both"/>
              <w:rPr>
                <w:rFonts w:cs="Times New Roman"/>
                <w:lang w:val="fr-FR"/>
              </w:rPr>
            </w:pPr>
            <w:r w:rsidRPr="00C93DF0">
              <w:rPr>
                <w:b/>
                <w:lang w:val="fr-FR"/>
              </w:rPr>
              <w:t>UNFPA/DZA/RFQ/2020/</w:t>
            </w:r>
            <w:r w:rsidR="001F2EDB" w:rsidRPr="00C93DF0">
              <w:rPr>
                <w:b/>
                <w:lang w:val="fr-FR"/>
              </w:rPr>
              <w:t>00</w:t>
            </w:r>
            <w:r w:rsidR="00C93DF0" w:rsidRPr="00C93DF0">
              <w:rPr>
                <w:b/>
                <w:lang w:val="fr-FR"/>
              </w:rPr>
              <w:t>3</w:t>
            </w:r>
            <w:r>
              <w:rPr>
                <w:bCs/>
                <w:lang w:val="fr-FR"/>
              </w:rPr>
              <w:t xml:space="preserve"> – </w:t>
            </w:r>
            <w:r w:rsidRPr="00C93DF0">
              <w:rPr>
                <w:b/>
                <w:lang w:val="fr-FR"/>
              </w:rPr>
              <w:t xml:space="preserve">Achat </w:t>
            </w:r>
            <w:r w:rsidR="00C93DF0" w:rsidRPr="00C93DF0">
              <w:rPr>
                <w:rFonts w:cs="Times New Roman"/>
                <w:b/>
                <w:lang w:val="fr-FR"/>
              </w:rPr>
              <w:t xml:space="preserve">d’un (01) kit </w:t>
            </w:r>
            <w:r w:rsidR="00BF046A">
              <w:rPr>
                <w:rFonts w:cs="Times New Roman"/>
                <w:b/>
                <w:lang w:val="fr-FR"/>
              </w:rPr>
              <w:t xml:space="preserve">système </w:t>
            </w:r>
            <w:r w:rsidR="00C93DF0" w:rsidRPr="00C93DF0">
              <w:rPr>
                <w:rFonts w:cs="Times New Roman"/>
                <w:b/>
                <w:lang w:val="fr-FR"/>
              </w:rPr>
              <w:t>de visioconférence au profit de la Direction de la Population</w:t>
            </w:r>
            <w:r w:rsidR="00BF046A">
              <w:rPr>
                <w:rFonts w:cs="Times New Roman"/>
                <w:b/>
                <w:lang w:val="fr-FR"/>
              </w:rPr>
              <w:t xml:space="preserve"> (MSPRH)</w:t>
            </w:r>
          </w:p>
          <w:p w:rsidR="001F2EDB" w:rsidRDefault="001F2EDB" w:rsidP="00CE7C06">
            <w:pPr>
              <w:rPr>
                <w:lang w:val="fr-FR"/>
              </w:rPr>
            </w:pPr>
          </w:p>
          <w:p w:rsidR="00774E60" w:rsidRDefault="00774E60" w:rsidP="00CE7C06">
            <w:pPr>
              <w:rPr>
                <w:lang w:val="fr-FR"/>
              </w:rPr>
            </w:pPr>
            <w:r>
              <w:rPr>
                <w:lang w:val="fr-FR"/>
              </w:rPr>
              <w:t>Seront disqualifiées, les offres transmises :</w:t>
            </w:r>
          </w:p>
          <w:p w:rsidR="00774E60" w:rsidRDefault="00774E60" w:rsidP="006F54F1">
            <w:pPr>
              <w:rPr>
                <w:lang w:val="fr-FR"/>
              </w:rPr>
            </w:pPr>
            <w:r>
              <w:rPr>
                <w:lang w:val="fr-FR"/>
              </w:rPr>
              <w:t>- Après cette date et heure limite (Il s’agit d’une date limite absolue)</w:t>
            </w:r>
          </w:p>
          <w:p w:rsidR="00774E60" w:rsidRPr="006F54F1" w:rsidRDefault="00774E60" w:rsidP="006F54F1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- A une adresse, autre que</w:t>
            </w:r>
            <w:r w:rsidR="00A847FA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</w:t>
            </w:r>
            <w:hyperlink r:id="rId9" w:history="1">
              <w:r w:rsidRPr="00CE7C06">
                <w:rPr>
                  <w:rStyle w:val="Lienhypertexte"/>
                  <w:b/>
                  <w:bCs/>
                  <w:lang w:val="fr-FR"/>
                </w:rPr>
                <w:t>offres-dz@unfpa.org</w:t>
              </w:r>
            </w:hyperlink>
          </w:p>
          <w:p w:rsidR="00774E60" w:rsidRDefault="00774E60" w:rsidP="00293336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4E29F9">
              <w:rPr>
                <w:lang w:val="fr-FR"/>
              </w:rPr>
              <w:t xml:space="preserve">Ne mentionnant pas </w:t>
            </w:r>
            <w:r w:rsidRPr="004E29F9">
              <w:rPr>
                <w:b/>
                <w:bCs/>
                <w:lang w:val="fr-FR"/>
              </w:rPr>
              <w:t>l’objet de la référence</w:t>
            </w:r>
            <w:r w:rsidRPr="004E29F9">
              <w:rPr>
                <w:lang w:val="fr-FR"/>
              </w:rPr>
              <w:t xml:space="preserve"> (sus citée)</w:t>
            </w:r>
          </w:p>
          <w:p w:rsidR="008547F1" w:rsidRPr="00CE7C06" w:rsidRDefault="008547F1" w:rsidP="00293336">
            <w:pPr>
              <w:rPr>
                <w:lang w:val="fr-FR"/>
              </w:rPr>
            </w:pPr>
          </w:p>
        </w:tc>
      </w:tr>
      <w:tr w:rsidR="00D40692" w:rsidTr="006F54F1">
        <w:tc>
          <w:tcPr>
            <w:tcW w:w="2830" w:type="dxa"/>
          </w:tcPr>
          <w:p w:rsidR="00D40692" w:rsidRPr="00774E60" w:rsidRDefault="005E463A">
            <w:pPr>
              <w:rPr>
                <w:b/>
                <w:bCs/>
                <w:lang w:val="fr-FR"/>
              </w:rPr>
            </w:pPr>
            <w:r w:rsidRPr="00774E60">
              <w:rPr>
                <w:b/>
                <w:bCs/>
                <w:lang w:val="fr-FR"/>
              </w:rPr>
              <w:t xml:space="preserve">Modalités de soumission </w:t>
            </w:r>
          </w:p>
        </w:tc>
        <w:tc>
          <w:tcPr>
            <w:tcW w:w="6232" w:type="dxa"/>
          </w:tcPr>
          <w:p w:rsidR="00944C9D" w:rsidRDefault="00944C9D" w:rsidP="005B67F8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Soumission électronique des </w:t>
            </w: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offres : </w:t>
            </w:r>
            <w:hyperlink r:id="rId10" w:history="1">
              <w:r w:rsidRPr="00944C9D">
                <w:rPr>
                  <w:rStyle w:val="Lienhypertexte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val="fr-FR"/>
                </w:rPr>
                <w:t>offres-dz@unfpa.org</w:t>
              </w:r>
            </w:hyperlink>
          </w:p>
          <w:p w:rsidR="004E29F9" w:rsidRDefault="00944C9D" w:rsidP="005B67F8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</w:t>
            </w:r>
            <w:r w:rsidR="004E29F9" w:rsidRPr="004E29F9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L’offre 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financière </w:t>
            </w:r>
            <w:r w:rsidR="004E29F9" w:rsidRPr="004E29F9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doit contenir</w:t>
            </w:r>
            <w:r w:rsidR="004E29F9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 le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s spécifications détaillées de l’équipement</w:t>
            </w:r>
            <w:r w:rsidR="004E29F9" w:rsidRP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, 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conformément </w:t>
            </w:r>
            <w:r w:rsidR="004E29F9" w:rsidRP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aux exigences énoncées dans l</w:t>
            </w:r>
            <w:r w:rsid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a description du produit. </w:t>
            </w:r>
            <w:r w:rsidR="004E29F9" w:rsidRPr="005B67F8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</w:p>
          <w:p w:rsidR="005B67F8" w:rsidRDefault="005B67F8" w:rsidP="00293336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L’offre financière </w:t>
            </w:r>
            <w:r w:rsid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doit être 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détaillée en HT et TTC en indiquant les délais de livraison des équipements et doit être s</w:t>
            </w:r>
            <w:r w:rsid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oumise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en format </w:t>
            </w:r>
            <w:r w:rsidRPr="0029333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fr-FR"/>
              </w:rPr>
              <w:t>PDF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. </w:t>
            </w:r>
          </w:p>
          <w:p w:rsidR="005B67F8" w:rsidRPr="005B67F8" w:rsidRDefault="005B67F8" w:rsidP="008547F1">
            <w:pPr>
              <w:pStyle w:val="letter"/>
              <w:tabs>
                <w:tab w:val="clear" w:pos="720"/>
                <w:tab w:val="left" w:pos="426"/>
              </w:tabs>
              <w:ind w:left="360" w:hanging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L’offre financière doit s’effectuer exclusivement </w:t>
            </w:r>
            <w:r w:rsidRP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sur le formulaire </w:t>
            </w:r>
            <w:r w:rsid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« </w:t>
            </w:r>
            <w:r w:rsidR="008547F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fr-FR"/>
              </w:rPr>
              <w:t>Bordereau de prix</w:t>
            </w:r>
            <w:r w:rsid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 » ci-attaché, qui doit être 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dûment s</w:t>
            </w:r>
            <w:r w:rsidRPr="0091132F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igné</w:t>
            </w:r>
            <w:r w:rsidR="00293336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avec cachet de l’entreprise.</w:t>
            </w:r>
          </w:p>
          <w:p w:rsidR="00F97DE5" w:rsidRPr="00944C9D" w:rsidRDefault="00F97DE5" w:rsidP="00944C9D">
            <w:pPr>
              <w:pStyle w:val="letter"/>
              <w:tabs>
                <w:tab w:val="clear" w:pos="720"/>
                <w:tab w:val="clear" w:pos="1620"/>
                <w:tab w:val="left" w:pos="426"/>
                <w:tab w:val="left" w:pos="993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</w:pP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- </w:t>
            </w:r>
            <w:r w:rsid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L</w:t>
            </w: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es soumissionnaires recevront une réponse automatique accusant réception d</w:t>
            </w:r>
            <w:r w:rsid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e leur </w:t>
            </w: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courriel</w:t>
            </w:r>
            <w:r w:rsid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>.</w:t>
            </w:r>
            <w:r w:rsidRPr="00944C9D">
              <w:rPr>
                <w:rFonts w:asciiTheme="minorHAnsi" w:eastAsia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</w:p>
          <w:p w:rsidR="005E463A" w:rsidRPr="00CE7C06" w:rsidRDefault="005E463A" w:rsidP="005E463A">
            <w:pPr>
              <w:rPr>
                <w:lang w:val="fr-FR"/>
              </w:rPr>
            </w:pPr>
          </w:p>
        </w:tc>
      </w:tr>
      <w:tr w:rsidR="00D40692" w:rsidTr="006F54F1">
        <w:tc>
          <w:tcPr>
            <w:tcW w:w="2830" w:type="dxa"/>
          </w:tcPr>
          <w:p w:rsidR="00D40692" w:rsidRPr="00774E60" w:rsidRDefault="005E463A">
            <w:pPr>
              <w:rPr>
                <w:b/>
                <w:bCs/>
                <w:lang w:val="fr-FR"/>
              </w:rPr>
            </w:pPr>
            <w:r w:rsidRPr="00774E60">
              <w:rPr>
                <w:b/>
                <w:bCs/>
                <w:lang w:val="fr-FR"/>
              </w:rPr>
              <w:t xml:space="preserve">Monnaie et validité  </w:t>
            </w:r>
          </w:p>
        </w:tc>
        <w:tc>
          <w:tcPr>
            <w:tcW w:w="6232" w:type="dxa"/>
          </w:tcPr>
          <w:p w:rsidR="00D40692" w:rsidRPr="00774E60" w:rsidRDefault="005E463A">
            <w:pPr>
              <w:rPr>
                <w:b/>
                <w:bCs/>
                <w:lang w:val="fr-FR"/>
              </w:rPr>
            </w:pPr>
            <w:r w:rsidRPr="00774E60">
              <w:rPr>
                <w:b/>
                <w:bCs/>
                <w:lang w:val="fr-FR"/>
              </w:rPr>
              <w:t xml:space="preserve">Monnaie : DZA </w:t>
            </w:r>
          </w:p>
          <w:p w:rsidR="005E463A" w:rsidRDefault="005E463A" w:rsidP="005E463A">
            <w:pPr>
              <w:rPr>
                <w:lang w:val="fr-FR"/>
              </w:rPr>
            </w:pPr>
            <w:r>
              <w:rPr>
                <w:lang w:val="fr-FR"/>
              </w:rPr>
              <w:t>Les prix doivent être en dinars algériens et le montant de la TVA doit être spécifié séparément.</w:t>
            </w:r>
          </w:p>
          <w:p w:rsidR="005E463A" w:rsidRDefault="005E463A" w:rsidP="00774E60">
            <w:pPr>
              <w:rPr>
                <w:lang w:val="fr-FR"/>
              </w:rPr>
            </w:pPr>
            <w:r w:rsidRPr="00774E60">
              <w:rPr>
                <w:b/>
                <w:bCs/>
                <w:lang w:val="fr-FR"/>
              </w:rPr>
              <w:t>Validité de l’offre :</w:t>
            </w:r>
            <w:r w:rsidR="00774E60" w:rsidRPr="00774E60">
              <w:rPr>
                <w:b/>
                <w:bCs/>
                <w:lang w:val="fr-FR"/>
              </w:rPr>
              <w:t xml:space="preserve"> 90 jours</w:t>
            </w:r>
            <w:r w:rsidRPr="00774E60"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</w:p>
          <w:p w:rsidR="008547F1" w:rsidRPr="00CE7C06" w:rsidRDefault="008547F1" w:rsidP="00774E60">
            <w:pPr>
              <w:rPr>
                <w:lang w:val="fr-FR"/>
              </w:rPr>
            </w:pPr>
          </w:p>
        </w:tc>
      </w:tr>
      <w:tr w:rsidR="00D40692" w:rsidTr="00944C9D">
        <w:tc>
          <w:tcPr>
            <w:tcW w:w="2830" w:type="dxa"/>
            <w:shd w:val="clear" w:color="auto" w:fill="auto"/>
          </w:tcPr>
          <w:p w:rsidR="00D40692" w:rsidRPr="00774E60" w:rsidRDefault="005B3039" w:rsidP="005B3039">
            <w:pPr>
              <w:rPr>
                <w:b/>
                <w:bCs/>
                <w:lang w:val="fr-FR"/>
              </w:rPr>
            </w:pPr>
            <w:r w:rsidRPr="00944C9D">
              <w:rPr>
                <w:b/>
                <w:bCs/>
                <w:lang w:val="fr-FR"/>
              </w:rPr>
              <w:t xml:space="preserve">Modalités </w:t>
            </w:r>
            <w:r w:rsidR="00774E60" w:rsidRPr="00944C9D">
              <w:rPr>
                <w:b/>
                <w:bCs/>
                <w:lang w:val="fr-FR"/>
              </w:rPr>
              <w:t>de paiement</w:t>
            </w:r>
            <w:r w:rsidR="00774E60" w:rsidRPr="00774E60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6232" w:type="dxa"/>
          </w:tcPr>
          <w:p w:rsidR="004E29F9" w:rsidRPr="004E29F9" w:rsidRDefault="004E29F9" w:rsidP="004E29F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4E29F9">
              <w:rPr>
                <w:lang w:val="fr-FR"/>
              </w:rPr>
              <w:t>L’UNFPA effectuera le paiement de la facture après réception complète et satisfaisante des équipements.</w:t>
            </w:r>
          </w:p>
          <w:p w:rsidR="004E29F9" w:rsidRPr="004E29F9" w:rsidRDefault="004E29F9" w:rsidP="004E29F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4E29F9">
              <w:rPr>
                <w:lang w:val="fr-FR"/>
              </w:rPr>
              <w:t>La facture sera payée sous trente (30) jours à compter de la date de son acceptation par l’UNFPA.</w:t>
            </w:r>
          </w:p>
          <w:p w:rsidR="004E29F9" w:rsidRPr="004E29F9" w:rsidRDefault="004E29F9" w:rsidP="004E29F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4E29F9">
              <w:rPr>
                <w:lang w:val="fr-FR"/>
              </w:rPr>
              <w:t>L’UNFPA effectue le paiement par virement sur le compte bancaire transmis par le fournisseur</w:t>
            </w:r>
            <w:r w:rsidR="00944C9D">
              <w:rPr>
                <w:lang w:val="fr-FR"/>
              </w:rPr>
              <w:t>.</w:t>
            </w:r>
            <w:r w:rsidRPr="004E29F9">
              <w:rPr>
                <w:lang w:val="fr-FR"/>
              </w:rPr>
              <w:t xml:space="preserve"> </w:t>
            </w:r>
          </w:p>
          <w:p w:rsidR="00D40692" w:rsidRPr="00CE7C06" w:rsidRDefault="00D40692">
            <w:pPr>
              <w:rPr>
                <w:lang w:val="fr-FR"/>
              </w:rPr>
            </w:pPr>
          </w:p>
        </w:tc>
      </w:tr>
      <w:tr w:rsidR="00D40692" w:rsidTr="006F54F1">
        <w:tc>
          <w:tcPr>
            <w:tcW w:w="2830" w:type="dxa"/>
          </w:tcPr>
          <w:p w:rsidR="00D40692" w:rsidRPr="005B3039" w:rsidRDefault="00774E60">
            <w:pPr>
              <w:rPr>
                <w:b/>
                <w:bCs/>
                <w:lang w:val="fr-FR"/>
              </w:rPr>
            </w:pPr>
            <w:r w:rsidRPr="005B3039">
              <w:rPr>
                <w:b/>
                <w:bCs/>
                <w:lang w:val="fr-FR"/>
              </w:rPr>
              <w:t xml:space="preserve">Demande de clarification </w:t>
            </w:r>
          </w:p>
        </w:tc>
        <w:tc>
          <w:tcPr>
            <w:tcW w:w="6232" w:type="dxa"/>
          </w:tcPr>
          <w:p w:rsidR="00D40692" w:rsidRPr="00293336" w:rsidRDefault="00774E60" w:rsidP="00293336">
            <w:pPr>
              <w:jc w:val="both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Toute demande de clarification doit être envoyée au plus tard trois (03) jours avant la date limite de la soumission</w:t>
            </w:r>
            <w:r w:rsidR="008547F1">
              <w:rPr>
                <w:lang w:val="fr-FR"/>
              </w:rPr>
              <w:t xml:space="preserve">, soit le mardi 24 </w:t>
            </w:r>
            <w:r w:rsidR="008547F1">
              <w:rPr>
                <w:lang w:val="fr-FR"/>
              </w:rPr>
              <w:lastRenderedPageBreak/>
              <w:t>novembre 2020-16H00-Heure Algérie (GMT+1)</w:t>
            </w:r>
            <w:r>
              <w:rPr>
                <w:lang w:val="fr-FR"/>
              </w:rPr>
              <w:t xml:space="preserve"> à l’adresse email : </w:t>
            </w:r>
            <w:hyperlink r:id="rId11" w:history="1">
              <w:r w:rsidR="00AC4C63" w:rsidRPr="00FA7654">
                <w:rPr>
                  <w:rStyle w:val="Lienhypertexte"/>
                  <w:lang w:val="fr-FR"/>
                </w:rPr>
                <w:t>boukezouha@unfpa.org</w:t>
              </w:r>
            </w:hyperlink>
            <w:r>
              <w:rPr>
                <w:lang w:val="fr-FR"/>
              </w:rPr>
              <w:t xml:space="preserve"> </w:t>
            </w:r>
            <w:r w:rsidR="009232C8">
              <w:rPr>
                <w:lang w:val="fr-FR"/>
              </w:rPr>
              <w:t>en indiquant en objet « </w:t>
            </w:r>
            <w:r w:rsidR="009232C8" w:rsidRPr="00293336">
              <w:rPr>
                <w:b/>
                <w:bCs/>
                <w:lang w:val="fr-FR"/>
              </w:rPr>
              <w:t>Demande de clarification de la part de (nom du prestatair</w:t>
            </w:r>
            <w:r w:rsidR="008547F1">
              <w:rPr>
                <w:b/>
                <w:bCs/>
                <w:lang w:val="fr-FR"/>
              </w:rPr>
              <w:t>e) et la référence de cet appel »</w:t>
            </w:r>
          </w:p>
          <w:p w:rsidR="009232C8" w:rsidRDefault="009232C8" w:rsidP="0029333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Veuillez ne pas soumettre vos offres à l’adresse e-mail de clarification. Cela invalidera votre proposition financière et l’UNFPA ne sera pas en mesure de l’examiner.</w:t>
            </w:r>
          </w:p>
          <w:p w:rsidR="009232C8" w:rsidRPr="00CE7C06" w:rsidRDefault="009232C8" w:rsidP="0029333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UNFPA </w:t>
            </w:r>
            <w:r w:rsidR="00293336">
              <w:rPr>
                <w:lang w:val="fr-FR"/>
              </w:rPr>
              <w:t xml:space="preserve">répondra </w:t>
            </w:r>
            <w:r>
              <w:rPr>
                <w:lang w:val="fr-FR"/>
              </w:rPr>
              <w:t>aux demandes de clarifications</w:t>
            </w:r>
            <w:r w:rsidR="00293336"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les plus brefs délais, par email partagé avec tous les fournisseurs.</w:t>
            </w:r>
          </w:p>
        </w:tc>
      </w:tr>
      <w:tr w:rsidR="00D40692" w:rsidTr="006F54F1">
        <w:tc>
          <w:tcPr>
            <w:tcW w:w="2830" w:type="dxa"/>
          </w:tcPr>
          <w:p w:rsidR="00D40692" w:rsidRPr="005B3039" w:rsidRDefault="009232C8">
            <w:pPr>
              <w:rPr>
                <w:b/>
                <w:bCs/>
                <w:lang w:val="fr-FR"/>
              </w:rPr>
            </w:pPr>
            <w:r w:rsidRPr="005B3039">
              <w:rPr>
                <w:b/>
                <w:bCs/>
                <w:lang w:val="fr-FR"/>
              </w:rPr>
              <w:lastRenderedPageBreak/>
              <w:t xml:space="preserve">Critères d’évaluation </w:t>
            </w:r>
          </w:p>
        </w:tc>
        <w:tc>
          <w:tcPr>
            <w:tcW w:w="6232" w:type="dxa"/>
          </w:tcPr>
          <w:p w:rsidR="005B3039" w:rsidRDefault="005B3039" w:rsidP="005B3039">
            <w:pPr>
              <w:rPr>
                <w:lang w:val="fr-FR"/>
              </w:rPr>
            </w:pPr>
            <w:r w:rsidRPr="005B3039">
              <w:rPr>
                <w:lang w:val="fr-FR"/>
              </w:rPr>
              <w:t xml:space="preserve">Les </w:t>
            </w:r>
            <w:r>
              <w:rPr>
                <w:lang w:val="fr-FR"/>
              </w:rPr>
              <w:t xml:space="preserve">offres </w:t>
            </w:r>
            <w:r w:rsidRPr="005B3039">
              <w:rPr>
                <w:lang w:val="fr-FR"/>
              </w:rPr>
              <w:t>seront évalué</w:t>
            </w:r>
            <w:r>
              <w:rPr>
                <w:lang w:val="fr-FR"/>
              </w:rPr>
              <w:t>e</w:t>
            </w:r>
            <w:r w:rsidRPr="005B3039">
              <w:rPr>
                <w:lang w:val="fr-FR"/>
              </w:rPr>
              <w:t>s en fonction d</w:t>
            </w:r>
            <w:r>
              <w:rPr>
                <w:lang w:val="fr-FR"/>
              </w:rPr>
              <w:t>e :</w:t>
            </w:r>
          </w:p>
          <w:p w:rsidR="005B3039" w:rsidRDefault="005B3039" w:rsidP="005B3039">
            <w:pPr>
              <w:rPr>
                <w:lang w:val="fr-FR"/>
              </w:rPr>
            </w:pPr>
            <w:r>
              <w:rPr>
                <w:lang w:val="fr-FR"/>
              </w:rPr>
              <w:t>- R</w:t>
            </w:r>
            <w:r w:rsidRPr="005B3039">
              <w:rPr>
                <w:lang w:val="fr-FR"/>
              </w:rPr>
              <w:t>espect des spécifications techniques</w:t>
            </w:r>
            <w:r>
              <w:rPr>
                <w:lang w:val="fr-FR"/>
              </w:rPr>
              <w:t xml:space="preserve"> de l’équipement</w:t>
            </w:r>
          </w:p>
          <w:p w:rsidR="005B3039" w:rsidRDefault="005B3039" w:rsidP="005B3039">
            <w:pPr>
              <w:rPr>
                <w:lang w:val="fr-FR"/>
              </w:rPr>
            </w:pPr>
            <w:r>
              <w:rPr>
                <w:lang w:val="fr-FR"/>
              </w:rPr>
              <w:t xml:space="preserve">- Rapport qualité/coût </w:t>
            </w:r>
          </w:p>
          <w:p w:rsidR="005B3039" w:rsidRDefault="005B3039" w:rsidP="005B3039">
            <w:pPr>
              <w:rPr>
                <w:lang w:val="fr-FR"/>
              </w:rPr>
            </w:pPr>
            <w:r>
              <w:rPr>
                <w:lang w:val="fr-FR"/>
              </w:rPr>
              <w:t>- Acceptation sans réserve des modalités de paiement de l’UNFPA (indiqué ci-dessus)</w:t>
            </w:r>
          </w:p>
          <w:p w:rsidR="00D40692" w:rsidRDefault="005B3039" w:rsidP="005B3039">
            <w:pPr>
              <w:rPr>
                <w:lang w:val="fr-FR"/>
              </w:rPr>
            </w:pPr>
            <w:r>
              <w:rPr>
                <w:lang w:val="fr-FR"/>
              </w:rPr>
              <w:t xml:space="preserve">- l’offre financière la moins disante. </w:t>
            </w:r>
          </w:p>
          <w:p w:rsidR="008547F1" w:rsidRPr="005B3039" w:rsidRDefault="008547F1" w:rsidP="005B3039">
            <w:pPr>
              <w:rPr>
                <w:lang w:val="fr-FR"/>
              </w:rPr>
            </w:pPr>
            <w:bookmarkStart w:id="0" w:name="_GoBack"/>
            <w:bookmarkEnd w:id="0"/>
          </w:p>
        </w:tc>
      </w:tr>
    </w:tbl>
    <w:p w:rsidR="00CE0D2E" w:rsidRDefault="00CE0D2E"/>
    <w:sectPr w:rsidR="00CE0D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E6" w:rsidRDefault="006B35E6" w:rsidP="006F54F1">
      <w:pPr>
        <w:spacing w:after="0" w:line="240" w:lineRule="auto"/>
      </w:pPr>
      <w:r>
        <w:separator/>
      </w:r>
    </w:p>
  </w:endnote>
  <w:endnote w:type="continuationSeparator" w:id="0">
    <w:p w:rsidR="006B35E6" w:rsidRDefault="006B35E6" w:rsidP="006F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001221"/>
      <w:docPartObj>
        <w:docPartGallery w:val="Page Numbers (Bottom of Page)"/>
        <w:docPartUnique/>
      </w:docPartObj>
    </w:sdtPr>
    <w:sdtEndPr/>
    <w:sdtContent>
      <w:p w:rsidR="00293336" w:rsidRDefault="002933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F1">
          <w:rPr>
            <w:noProof/>
          </w:rPr>
          <w:t>2</w:t>
        </w:r>
        <w:r>
          <w:fldChar w:fldCharType="end"/>
        </w:r>
      </w:p>
    </w:sdtContent>
  </w:sdt>
  <w:p w:rsidR="00293336" w:rsidRDefault="002933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E6" w:rsidRDefault="006B35E6" w:rsidP="006F54F1">
      <w:pPr>
        <w:spacing w:after="0" w:line="240" w:lineRule="auto"/>
      </w:pPr>
      <w:r>
        <w:separator/>
      </w:r>
    </w:p>
  </w:footnote>
  <w:footnote w:type="continuationSeparator" w:id="0">
    <w:p w:rsidR="006B35E6" w:rsidRDefault="006B35E6" w:rsidP="006F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9D" w:rsidRDefault="00944C9D">
    <w:pPr>
      <w:pStyle w:val="En-tte"/>
    </w:pPr>
    <w:r>
      <w:rPr>
        <w:rFonts w:ascii="Arial Narrow" w:hAnsi="Arial Narrow" w:cs="Arial"/>
        <w:noProof/>
        <w:lang w:eastAsia="fr-FR"/>
      </w:rPr>
      <w:drawing>
        <wp:inline distT="0" distB="0" distL="0" distR="0" wp14:anchorId="6877FEE6" wp14:editId="5E7A9CF0">
          <wp:extent cx="971550" cy="457200"/>
          <wp:effectExtent l="0" t="0" r="0" b="0"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86A15"/>
    <w:multiLevelType w:val="hybridMultilevel"/>
    <w:tmpl w:val="006433F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1B18"/>
    <w:multiLevelType w:val="hybridMultilevel"/>
    <w:tmpl w:val="E2988130"/>
    <w:lvl w:ilvl="0" w:tplc="EE583C3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6" w:hanging="360"/>
      </w:pPr>
    </w:lvl>
    <w:lvl w:ilvl="2" w:tplc="040C001B" w:tentative="1">
      <w:start w:val="1"/>
      <w:numFmt w:val="lowerRoman"/>
      <w:lvlText w:val="%3."/>
      <w:lvlJc w:val="right"/>
      <w:pPr>
        <w:ind w:left="2496" w:hanging="180"/>
      </w:pPr>
    </w:lvl>
    <w:lvl w:ilvl="3" w:tplc="040C000F" w:tentative="1">
      <w:start w:val="1"/>
      <w:numFmt w:val="decimal"/>
      <w:lvlText w:val="%4."/>
      <w:lvlJc w:val="left"/>
      <w:pPr>
        <w:ind w:left="3216" w:hanging="360"/>
      </w:pPr>
    </w:lvl>
    <w:lvl w:ilvl="4" w:tplc="040C0019" w:tentative="1">
      <w:start w:val="1"/>
      <w:numFmt w:val="lowerLetter"/>
      <w:lvlText w:val="%5."/>
      <w:lvlJc w:val="left"/>
      <w:pPr>
        <w:ind w:left="3936" w:hanging="360"/>
      </w:pPr>
    </w:lvl>
    <w:lvl w:ilvl="5" w:tplc="040C001B" w:tentative="1">
      <w:start w:val="1"/>
      <w:numFmt w:val="lowerRoman"/>
      <w:lvlText w:val="%6."/>
      <w:lvlJc w:val="right"/>
      <w:pPr>
        <w:ind w:left="4656" w:hanging="180"/>
      </w:pPr>
    </w:lvl>
    <w:lvl w:ilvl="6" w:tplc="040C000F" w:tentative="1">
      <w:start w:val="1"/>
      <w:numFmt w:val="decimal"/>
      <w:lvlText w:val="%7."/>
      <w:lvlJc w:val="left"/>
      <w:pPr>
        <w:ind w:left="5376" w:hanging="360"/>
      </w:pPr>
    </w:lvl>
    <w:lvl w:ilvl="7" w:tplc="040C0019" w:tentative="1">
      <w:start w:val="1"/>
      <w:numFmt w:val="lowerLetter"/>
      <w:lvlText w:val="%8."/>
      <w:lvlJc w:val="left"/>
      <w:pPr>
        <w:ind w:left="6096" w:hanging="360"/>
      </w:pPr>
    </w:lvl>
    <w:lvl w:ilvl="8" w:tplc="040C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62D263B3"/>
    <w:multiLevelType w:val="hybridMultilevel"/>
    <w:tmpl w:val="403E007A"/>
    <w:lvl w:ilvl="0" w:tplc="C6182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B"/>
    <w:rsid w:val="001E0FB4"/>
    <w:rsid w:val="001F2EDB"/>
    <w:rsid w:val="00293336"/>
    <w:rsid w:val="003E716A"/>
    <w:rsid w:val="003F297C"/>
    <w:rsid w:val="00407A3B"/>
    <w:rsid w:val="004A7DB7"/>
    <w:rsid w:val="004E29F9"/>
    <w:rsid w:val="005B3039"/>
    <w:rsid w:val="005B67F8"/>
    <w:rsid w:val="005C54FC"/>
    <w:rsid w:val="005E463A"/>
    <w:rsid w:val="006B35E6"/>
    <w:rsid w:val="006F54F1"/>
    <w:rsid w:val="00721212"/>
    <w:rsid w:val="007251D8"/>
    <w:rsid w:val="0077054B"/>
    <w:rsid w:val="00774E60"/>
    <w:rsid w:val="0079175B"/>
    <w:rsid w:val="008547F1"/>
    <w:rsid w:val="0091132F"/>
    <w:rsid w:val="009232C8"/>
    <w:rsid w:val="00944C9D"/>
    <w:rsid w:val="009D0028"/>
    <w:rsid w:val="00A126E5"/>
    <w:rsid w:val="00A2022E"/>
    <w:rsid w:val="00A847FA"/>
    <w:rsid w:val="00AC4C63"/>
    <w:rsid w:val="00BF046A"/>
    <w:rsid w:val="00C021EB"/>
    <w:rsid w:val="00C93DF0"/>
    <w:rsid w:val="00CB2ED4"/>
    <w:rsid w:val="00CE0D2E"/>
    <w:rsid w:val="00CE7C06"/>
    <w:rsid w:val="00D40692"/>
    <w:rsid w:val="00E96BAD"/>
    <w:rsid w:val="00F4782E"/>
    <w:rsid w:val="00F52F78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2FE2-6EFD-408F-8C9F-CD527E0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E0D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CE0D2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CE0D2E"/>
  </w:style>
  <w:style w:type="table" w:styleId="Grilledutableau">
    <w:name w:val="Table Grid"/>
    <w:basedOn w:val="TableauNormal"/>
    <w:uiPriority w:val="59"/>
    <w:rsid w:val="00CE0D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7C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4F1"/>
  </w:style>
  <w:style w:type="paragraph" w:styleId="Pieddepage">
    <w:name w:val="footer"/>
    <w:basedOn w:val="Normal"/>
    <w:link w:val="PieddepageCar"/>
    <w:uiPriority w:val="99"/>
    <w:unhideWhenUsed/>
    <w:rsid w:val="006F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4F1"/>
  </w:style>
  <w:style w:type="paragraph" w:customStyle="1" w:styleId="letter">
    <w:name w:val="letter"/>
    <w:basedOn w:val="Normal"/>
    <w:rsid w:val="005B3039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res-dz@unfp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kezouha@unfp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res-dz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res-dz@unfp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54C8-D013-4D09-9FAF-9B09E0BB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Badia Haddouche</dc:creator>
  <cp:keywords/>
  <dc:description/>
  <cp:lastModifiedBy>Badia Haddouche</cp:lastModifiedBy>
  <cp:revision>2</cp:revision>
  <dcterms:created xsi:type="dcterms:W3CDTF">2020-11-19T17:28:00Z</dcterms:created>
  <dcterms:modified xsi:type="dcterms:W3CDTF">2020-11-19T17:28:00Z</dcterms:modified>
</cp:coreProperties>
</file>